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body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center"/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План урока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Предмет: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 и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>нформатика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Тема: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 и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lang w:val="ru-RU" w:eastAsia="ru-RU"/>
        </w:rPr>
        <w:t>нформация и информационные процессы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Класс: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 10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УМК: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 «Информатика» 10-11 классы. Базовый уровень. Авторы Босова Л.Л., Босова А.Ю.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Тип урока: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 урок открытия нового знания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auto"/>
          <w:sz w:val="28"/>
          <w:szCs w:val="28"/>
          <w:rtl w:val="off"/>
          <w:lang w:val="ru-RU" w:eastAsia="ru-RU"/>
        </w:rPr>
        <w:t>Цель ур</w:t>
      </w:r>
      <w:r>
        <w:rPr>
          <w:rFonts w:ascii="Times New Roman" w:cs="Times New Roman" w:eastAsia="Calibri" w:hAnsi="Times New Roman"/>
          <w:b/>
          <w:bCs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>ока: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 xml:space="preserve"> 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 xml:space="preserve">сформировать у обучающихся с помощью цифрового материала понятия об информации и информационных процессах для применения дальнейшей практической деятельности.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>Задачи урока:</w:t>
      </w:r>
    </w:p>
    <w:p>
      <w:pPr>
        <w:framePr w:w="0" w:h="0" w:vAnchor="margin" w:hAnchor="text" w:x="0" w:y="0"/>
        <w:numPr>
          <w:ilvl w:val="0"/>
          <w:numId w:val="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</w:pPr>
      <w:r>
        <w:rPr>
          <w:rFonts w:ascii="Times New Roman" w:cs="Times New Roman" w:eastAsia="Calibri" w:hAnsi="Times New Roman"/>
          <w:b w:val="off"/>
          <w:bCs w:val="off"/>
          <w:i/>
          <w:iCs/>
          <w:color w:val="auto"/>
          <w:sz w:val="28"/>
          <w:szCs w:val="28"/>
          <w:highlight w:val="none"/>
          <w:rtl w:val="off"/>
          <w:lang w:val="ru-RU" w:eastAsia="ru-RU"/>
        </w:rPr>
        <w:t xml:space="preserve">образовательные: 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>познакомить обучающихся с понятием информации, информационные процессы; научить приводить примеры информационных процессов; научить определять виды и свойства информации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>;</w:t>
      </w:r>
    </w:p>
    <w:p>
      <w:pPr>
        <w:framePr w:w="0" w:h="0" w:vAnchor="margin" w:hAnchor="text" w:x="0" w:y="0"/>
        <w:numPr>
          <w:ilvl w:val="0"/>
          <w:numId w:val="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 w:val="off"/>
          <w:bCs w:val="off"/>
          <w:i/>
          <w:iCs/>
          <w:color w:val="auto"/>
          <w:sz w:val="28"/>
          <w:szCs w:val="28"/>
          <w:highlight w:val="none"/>
          <w:rtl w:val="off"/>
          <w:lang w:val="ru-RU" w:eastAsia="ru-RU"/>
        </w:rPr>
        <w:t>воспитательные: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 xml:space="preserve"> с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 xml:space="preserve">формировать 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 xml:space="preserve">у обучающихся 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>познавательный интерес, логическое мышление;</w:t>
      </w:r>
    </w:p>
    <w:p>
      <w:pPr>
        <w:framePr w:w="0" w:h="0" w:vAnchor="margin" w:hAnchor="text" w:x="0" w:y="0"/>
        <w:numPr>
          <w:ilvl w:val="0"/>
          <w:numId w:val="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/>
          <w:i/>
          <w:color w:val="auto"/>
          <w:sz w:val="22"/>
          <w:szCs w:val="22"/>
          <w:highlight w:val="none"/>
          <w:rtl w:val="off"/>
          <w:lang w:val="ru-RU" w:eastAsia="ru-RU"/>
        </w:rPr>
      </w:pPr>
      <w:r>
        <w:rPr>
          <w:rFonts w:ascii="Times New Roman" w:cs="Times New Roman" w:eastAsia="Calibri" w:hAnsi="Times New Roman"/>
          <w:b w:val="off"/>
          <w:bCs w:val="off"/>
          <w:i/>
          <w:iCs/>
          <w:color w:val="auto"/>
          <w:sz w:val="28"/>
          <w:szCs w:val="28"/>
          <w:highlight w:val="none"/>
          <w:rtl w:val="off"/>
          <w:lang w:val="ru-RU" w:eastAsia="ru-RU"/>
        </w:rPr>
        <w:t>развивающие: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 xml:space="preserve"> сформировать у обучающихся умения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auto"/>
          <w:sz w:val="28"/>
          <w:szCs w:val="28"/>
          <w:highlight w:val="none"/>
          <w:rtl w:val="off"/>
          <w:lang w:val="ru-RU" w:eastAsia="ru-RU"/>
        </w:rPr>
        <w:t xml:space="preserve"> отвечать на вопросы учителя по изученному материалу.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Планируемые результаты:</w:t>
      </w:r>
    </w:p>
    <w:p>
      <w:pPr>
        <w:framePr w:w="0" w:h="0" w:vAnchor="margin" w:hAnchor="text" w:x="0" w:y="0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 w:val="off"/>
          <w:bCs w:val="off"/>
          <w:i/>
          <w:iCs/>
          <w:color w:val="000000"/>
          <w:sz w:val="28"/>
          <w:szCs w:val="28"/>
          <w:rtl w:val="off"/>
          <w:lang w:val="ru-RU" w:eastAsia="ru-RU"/>
        </w:rPr>
        <w:t>предметные: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 о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>перировать с понятиями связанными с хранением и передачей информации, понимать сущность понятия информационный процесс, информация её виды и свойства;</w:t>
      </w:r>
    </w:p>
    <w:p>
      <w:pPr>
        <w:framePr w:w="0" w:h="0" w:vAnchor="margin" w:hAnchor="text" w:x="0" w:y="0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highlight w:val="none"/>
          <w:rtl w:val="off"/>
          <w:lang w:val="ru-RU" w:eastAsia="ru-RU"/>
        </w:rPr>
      </w:pPr>
      <w:r>
        <w:rPr>
          <w:rFonts w:ascii="Times New Roman" w:cs="Times New Roman" w:eastAsia="Calibri" w:hAnsi="Times New Roman"/>
          <w:b w:val="off"/>
          <w:bCs w:val="off"/>
          <w:i/>
          <w:iCs/>
          <w:color w:val="000000"/>
          <w:sz w:val="28"/>
          <w:szCs w:val="28"/>
          <w:highlight w:val="none"/>
          <w:rtl w:val="off"/>
          <w:lang w:val="ru-RU" w:eastAsia="ru-RU"/>
        </w:rPr>
        <w:t>метапредметные: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highlight w:val="none"/>
          <w:rtl w:val="off"/>
          <w:lang w:val="ru-RU" w:eastAsia="ru-RU"/>
        </w:rPr>
        <w:t xml:space="preserve"> 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highlight w:val="none"/>
          <w:rtl w:val="off"/>
          <w:lang w:val="ru-RU" w:eastAsia="ru-RU"/>
        </w:rPr>
        <w:t xml:space="preserve">получение 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highlight w:val="none"/>
          <w:rtl w:val="off"/>
          <w:lang w:val="ru-RU" w:eastAsia="ru-RU"/>
        </w:rPr>
        <w:t xml:space="preserve">навыков определения условий и возможностей хранения и передачи информации; понимание информационных процессов как одном из основных понятий современной науки и их роли в современном мире; 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highlight w:val="none"/>
          <w:rtl w:val="off"/>
          <w:lang w:val="ru-RU" w:eastAsia="ru-RU"/>
        </w:rPr>
        <w:t xml:space="preserve">координировать и выполнять работу в условиях реального, виртуального и комбинированного взаимодействия; 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highlight w:val="none"/>
          <w:rtl w:val="off"/>
          <w:lang w:val="ru-RU" w:eastAsia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>
      <w:pPr>
        <w:framePr w:w="0" w:h="0" w:vAnchor="margin" w:hAnchor="text" w:x="0" w:y="0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/>
          <w:i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 w:val="off"/>
          <w:bCs w:val="off"/>
          <w:i/>
          <w:iCs/>
          <w:color w:val="000000"/>
          <w:sz w:val="28"/>
          <w:szCs w:val="28"/>
          <w:rtl w:val="off"/>
          <w:lang w:val="ru-RU" w:eastAsia="ru-RU"/>
        </w:rPr>
        <w:t>личностные: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 п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редставление о сферах применения способов хранения и передачи информации в различных сферах деятельности человека. Осознание ценности научных открытий и изобретений для расширения возможностей хранения, передачи информации человеком.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Метод обучения:</w:t>
      </w:r>
    </w:p>
    <w:p>
      <w:pPr>
        <w:framePr w:w="0" w:h="0" w:vAnchor="margin" w:hAnchor="text" w:x="0" w:y="0"/>
        <w:numPr>
          <w:ilvl w:val="0"/>
          <w:numId w:val="3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>словесный - беседа;</w:t>
      </w:r>
    </w:p>
    <w:p>
      <w:pPr>
        <w:framePr w:w="0" w:h="0" w:vAnchor="margin" w:hAnchor="text" w:x="0" w:y="0"/>
        <w:numPr>
          <w:ilvl w:val="0"/>
          <w:numId w:val="3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>наглядный - интерактивный комплекс, компьютеры;</w:t>
      </w:r>
    </w:p>
    <w:p>
      <w:pPr>
        <w:framePr w:w="0" w:h="0" w:vAnchor="margin" w:hAnchor="text" w:x="0" w:y="0"/>
        <w:numPr>
          <w:ilvl w:val="0"/>
          <w:numId w:val="3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firstLine="709"/>
        <w:jc w:val="both"/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>практический - индивидуальная работа, работа в группе.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/>
          <w:i/>
          <w:color w:val="000000"/>
          <w:sz w:val="21"/>
          <w:szCs w:val="24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 w:eastAsia="ru-RU"/>
        </w:rPr>
        <w:t>Оборудование:</w:t>
      </w: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 w:eastAsia="ru-RU"/>
        </w:rPr>
        <w:t xml:space="preserve"> интерактивный комплекс, компьютерный класс с подключением к сети Интернет.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right"/>
        <w:rPr>
          <w:rFonts w:ascii="times new roman" w:cs="Times New Roman" w:eastAsia="Times New Roman" w:hAnsi="Times New Roman"/>
          <w:b/>
          <w:i/>
          <w:color w:val="000000"/>
          <w:sz w:val="18"/>
          <w:szCs w:val="20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/>
          <w:sz w:val="24"/>
          <w:szCs w:val="24"/>
          <w:rtl w:val="off"/>
          <w:lang w:val="ru-RU" w:eastAsia="ru-RU"/>
        </w:rPr>
        <w:t>Таблица 1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center"/>
        <w:rPr>
          <w:rFonts w:ascii="Times New Roman" w:cs="Times New Roman" w:eastAsia="Calibri" w:hAnsi="Times New Roman"/>
          <w:b/>
          <w:i w:val="off"/>
          <w:iCs w:val="off"/>
          <w:color w:val="000000"/>
          <w:sz w:val="28"/>
          <w:szCs w:val="28"/>
          <w:rtl w:val="off"/>
          <w:lang w:val="en-US" w:eastAsia="ru-RU"/>
        </w:rPr>
      </w:pPr>
      <w:r>
        <w:rPr>
          <w:rFonts w:ascii="Times New Roman" w:cs="Times New Roman" w:eastAsia="Calibri" w:hAnsi="Times New Roman"/>
          <w:b/>
          <w:i w:val="off"/>
          <w:iCs w:val="off"/>
          <w:color w:val="000000"/>
          <w:sz w:val="28"/>
          <w:szCs w:val="28"/>
          <w:rtl w:val="off"/>
          <w:lang w:val="ru-RU" w:eastAsia="ru-RU"/>
        </w:rPr>
        <w:t>Технологическая карта урока</w:t>
      </w:r>
    </w:p>
    <w:tbl>
      <w:tblPr>
        <w:tblStyle w:val="TableGrid1"/>
        <w:tblW w:w="16159" w:type="dxa"/>
        <w:tblInd w:w="-660" w:type="dxa"/>
        <w:tblLayout w:type="auto"/>
      </w:tblPr>
      <w:tblGrid>
        <w:gridCol w:w="560"/>
        <w:gridCol w:w="2096"/>
        <w:gridCol w:w="2075"/>
        <w:gridCol w:w="1944"/>
        <w:gridCol w:w="4637"/>
        <w:gridCol w:w="2237"/>
        <w:gridCol w:w="2610"/>
      </w:tblGrid>
      <w:tr>
        <w:trPr>
          <w:cnfStyle w:val="100000000000"/>
        </w:trPr>
        <w:tc>
          <w:tcPr>
            <w:cnfStyle w:val="100010000000"/>
            <w:tcW w:w="56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  <w:t xml:space="preserve">№ </w:t>
            </w: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п/п</w:t>
            </w:r>
          </w:p>
        </w:tc>
        <w:tc>
          <w:tcPr>
            <w:cnfStyle w:val="100001000000"/>
            <w:tcW w:w="2096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Этап урока (название)</w:t>
            </w:r>
          </w:p>
        </w:tc>
        <w:tc>
          <w:tcPr>
            <w:cnfStyle w:val="100010000000"/>
            <w:tcW w:w="2075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Дидактические задачи</w:t>
            </w:r>
          </w:p>
        </w:tc>
        <w:tc>
          <w:tcPr>
            <w:cnfStyle w:val="100001000000"/>
            <w:tcW w:w="1944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Тайминг</w:t>
            </w:r>
          </w:p>
        </w:tc>
        <w:tc>
          <w:tcPr>
            <w:cnfStyle w:val="100010000000"/>
            <w:tcW w:w="46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Деятельность учителя</w:t>
            </w:r>
          </w:p>
        </w:tc>
        <w:tc>
          <w:tcPr>
            <w:cnfStyle w:val="100001000000"/>
            <w:tcW w:w="22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Деятельность </w:t>
            </w: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обучающихся</w:t>
            </w:r>
          </w:p>
        </w:tc>
        <w:tc>
          <w:tcPr>
            <w:cnfStyle w:val="100010000000"/>
            <w:tcW w:w="261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Формируемые УУД</w:t>
            </w:r>
          </w:p>
        </w:tc>
      </w:tr>
      <w:tr>
        <w:trPr>
          <w:cnfStyle w:val="000000000000"/>
        </w:trPr>
        <w:tc>
          <w:tcPr>
            <w:cnfStyle w:val="000010000000"/>
            <w:tcW w:w="56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  <w:t>1</w:t>
            </w:r>
          </w:p>
        </w:tc>
        <w:tc>
          <w:tcPr>
            <w:cnfStyle w:val="000001000000"/>
            <w:tcW w:w="2096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Доурочная подготовка</w:t>
            </w:r>
          </w:p>
        </w:tc>
        <w:tc>
          <w:tcPr>
            <w:cnfStyle w:val="000010000000"/>
            <w:tcW w:w="2075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Формирование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понятия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информация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,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информационные процессы, сбор и обработка информации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</w:t>
            </w:r>
          </w:p>
        </w:tc>
        <w:tc>
          <w:tcPr>
            <w:cnfStyle w:val="000001000000"/>
            <w:tcW w:w="1944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auto"/>
                <w:sz w:val="24"/>
                <w:szCs w:val="24"/>
                <w:highlight w:val="none"/>
                <w:rtl w:val="off"/>
                <w:lang w:val="ru-RU" w:eastAsia="ru-RU"/>
              </w:rPr>
              <w:t>М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auto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атериалы к до урочной подготовке даются не менее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auto"/>
                <w:sz w:val="24"/>
                <w:szCs w:val="24"/>
                <w:highlight w:val="none"/>
                <w:rtl w:val="off"/>
                <w:lang w:val="ru-RU" w:eastAsia="ru-RU"/>
              </w:rPr>
              <w:t>чем за 5 дней до начала занятия, разбор обучающимися происходит в индивидуальном режиме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auto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</w:t>
            </w:r>
          </w:p>
        </w:tc>
        <w:tc>
          <w:tcPr>
            <w:cnfStyle w:val="000010000000"/>
            <w:tcW w:w="46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Подбирает и структурир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ует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информацию по теме урока.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br w:type="textWrapping"/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Опреде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ляет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дидактические задачи для каждого этапа урока, по таймингу.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br w:type="textWrapping"/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Сн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имает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видеоролик для обучающихся, разрабатывает презентацию по изучаемой теме. Подгот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авливает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рекомендации по составлению конспекта урока (Приложение 1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), а также ментальной карты (Приложение 5)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 Подбирает и составляет задания для урочной деятельности обучающихся.</w:t>
            </w:r>
          </w:p>
        </w:tc>
        <w:tc>
          <w:tcPr>
            <w:cnfStyle w:val="000001000000"/>
            <w:tcW w:w="22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Просматривают видеоматериал и презентацию, записывают конспекты, выявляют появившиеся затруднения в изученном материале, подготавливают вопросы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учителю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,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создают свою ментальную карту (Приложение 4)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</w:t>
            </w:r>
          </w:p>
        </w:tc>
        <w:tc>
          <w:tcPr>
            <w:cnfStyle w:val="000010000000"/>
            <w:tcW w:w="261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Познавательные: уметь структурировать знания.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Личностные: использовать навыки самоорганизации.</w:t>
            </w:r>
          </w:p>
        </w:tc>
      </w:tr>
      <w:tr>
        <w:trPr>
          <w:cnfStyle w:val="000000000000"/>
        </w:trPr>
        <w:tc>
          <w:tcPr>
            <w:cnfStyle w:val="000010000000"/>
            <w:tcW w:w="56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  <w:t>2</w:t>
            </w:r>
          </w:p>
        </w:tc>
        <w:tc>
          <w:tcPr>
            <w:cnfStyle w:val="000001000000"/>
            <w:tcW w:w="2096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Организационный момент</w:t>
            </w:r>
          </w:p>
        </w:tc>
        <w:tc>
          <w:tcPr>
            <w:cnfStyle w:val="000010000000"/>
            <w:tcW w:w="2075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Формирование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у обучающихся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психологического настроя, спокойной деловой обстановки для восприятия и усвоения материала, применение изученного материала практической деятельности.</w:t>
            </w:r>
          </w:p>
        </w:tc>
        <w:tc>
          <w:tcPr>
            <w:cnfStyle w:val="000001000000"/>
            <w:tcW w:w="1944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1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мин</w:t>
            </w:r>
          </w:p>
        </w:tc>
        <w:tc>
          <w:tcPr>
            <w:cnfStyle w:val="000010000000"/>
            <w:tcW w:w="46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Приветствует обучающихся, проверяет их готовность к учебному занятию, организует их внимание на сегодняшней деятельности.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«Здравствуйте, ребята! Сегодня мы будем применять тот материал, который Вы ранее изучили дома, на практической деятельности.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Оценки за урок буду выставлены в совокупности с Вашей деятельность непосредственно на самом занятии, пожалуйста соблюдайте дисциплину на нашем уроке.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»</w:t>
            </w:r>
          </w:p>
        </w:tc>
        <w:tc>
          <w:tcPr>
            <w:cnfStyle w:val="000001000000"/>
            <w:tcW w:w="22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Приветствуют учителя, проверяют наличие учебного материала на столах, организуют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свое рабочее место.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u w:val="none"/>
                <w:rtl w:val="off"/>
                <w:lang w:val="ru-RU" w:eastAsia="ru-RU"/>
              </w:rPr>
              <w:t>«Встают в начале урока - тем самым приветствуют учителя. Внимательно слушают.»</w:t>
            </w:r>
          </w:p>
        </w:tc>
        <w:tc>
          <w:tcPr>
            <w:cnfStyle w:val="000010000000"/>
            <w:tcW w:w="261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Коммуникативные: умение организовать рабочую среду.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Личностные: использовать навыки самоорганизации.</w:t>
            </w:r>
          </w:p>
        </w:tc>
      </w:tr>
      <w:tr>
        <w:trPr>
          <w:cnfStyle w:val="000000000000"/>
        </w:trPr>
        <w:tc>
          <w:tcPr>
            <w:cnfStyle w:val="000010000000"/>
            <w:tcW w:w="56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  <w:t>3</w:t>
            </w:r>
          </w:p>
        </w:tc>
        <w:tc>
          <w:tcPr>
            <w:cnfStyle w:val="000001000000"/>
            <w:tcW w:w="2096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 xml:space="preserve">Актуализация знаний и проверка домашнего задания </w:t>
            </w:r>
          </w:p>
        </w:tc>
        <w:tc>
          <w:tcPr>
            <w:cnfStyle w:val="000010000000"/>
            <w:tcW w:w="2075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Формирование у обучающихся готовности к усвоению темы,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активизация знаний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обучающихся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, необходимых для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применения в практической деятельности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</w:t>
            </w:r>
          </w:p>
        </w:tc>
        <w:tc>
          <w:tcPr>
            <w:cnfStyle w:val="000001000000"/>
            <w:tcW w:w="1944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7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мин</w:t>
            </w:r>
          </w:p>
        </w:tc>
        <w:tc>
          <w:tcPr>
            <w:cnfStyle w:val="000010000000"/>
            <w:tcW w:w="46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Проверяет знания обучающихся по доурочной подготовке: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 xml:space="preserve"> </w:t>
            </w:r>
          </w:p>
          <w:p>
            <w:pPr>
              <w:framePr w:w="0" w:h="0" w:vAnchor="margin" w:hAnchor="text" w:x="0" w:y="0"/>
              <w:numPr>
                <w:ilvl w:val="0"/>
                <w:numId w:val="4"/>
              </w:numPr>
              <w:shd w:val="clear" w:fill="auto"/>
              <w:bidi w:val="off"/>
              <w:spacing w:before="0" w:after="150" w:line="240" w:lineRule="auto"/>
              <w:ind w:left="720" w:hanging="36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Дает практические задания, для выявления затруднений (Приложение 5);</w:t>
            </w:r>
          </w:p>
          <w:p>
            <w:pPr>
              <w:framePr w:w="0" w:h="0" w:vAnchor="margin" w:hAnchor="text" w:x="0" w:y="0"/>
              <w:numPr>
                <w:ilvl w:val="0"/>
                <w:numId w:val="4"/>
              </w:numPr>
              <w:shd w:val="clear" w:fill="auto"/>
              <w:bidi w:val="off"/>
              <w:spacing w:before="0" w:after="150" w:line="240" w:lineRule="auto"/>
              <w:ind w:left="720" w:hanging="36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Организует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проверку  ментальных карт.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left="0" w:right="0" w:firstLine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«Сейчас мы с Вами проверим, что же Вы дома узнали нового. Заполните таблицу 1 «Виды информации», по которой Вам необходимо определить вид описываемой информации по способу восприятия и по форме представления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.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Е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сли Вы считаете, что для какого-либо примера информации нельзя определить ее вид, то объясните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Ваше решение.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left="0" w:right="0" w:firstLine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...проводиться обсуждение по заполнению обучающихся таблицы...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left="0" w:right="0" w:firstLine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А теперь в парах заполните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таблицу 2 «Схема передачи информации», приведя по два примера из жизнедеятельности человека способов передачи информации по описываемой схеме.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left="0" w:right="0" w:firstLine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...проводиться обсуждение по заполнению обучающихся таблицы...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left="0" w:right="0" w:firstLine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2) Одним из заданий в доурочный период было составление ментальной карты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 Давайте теперь обсудим, что же у Вас получилось, кто желает показать свою работу?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left="0" w:right="0" w:firstLine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...3-4 ученика показывают свои ментальные карты, по изученной теме, происходит обсуждение работ...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»</w:t>
            </w:r>
          </w:p>
        </w:tc>
        <w:tc>
          <w:tcPr>
            <w:cnfStyle w:val="000001000000"/>
            <w:tcW w:w="22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Вспоминают изученное,  задают свои вопросы, заполняют таблицы, показывают работы, участвуют в обсуждении.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«Поднимая руки задают свои вопросы учителю. Заполняют таблицы, сверяются с ответами, обсуждают решения. Кто-то из учеников (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3-4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человека) выходят к доске для объяснения того, как они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составили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свои ментальные карты.»</w:t>
            </w:r>
          </w:p>
        </w:tc>
        <w:tc>
          <w:tcPr>
            <w:cnfStyle w:val="000010000000"/>
            <w:tcW w:w="261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Познавательные: уметь структурировать знания.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Коммуникативные: уметь ориентироваться на партнера по общению, умение слушать собеседника, аргументировать свое мнение.</w:t>
            </w:r>
          </w:p>
        </w:tc>
      </w:tr>
      <w:tr>
        <w:trPr>
          <w:cnfStyle w:val="000000000000"/>
        </w:trPr>
        <w:tc>
          <w:tcPr>
            <w:cnfStyle w:val="000010000000"/>
            <w:tcW w:w="56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  <w:t>4</w:t>
            </w:r>
          </w:p>
        </w:tc>
        <w:tc>
          <w:tcPr>
            <w:cnfStyle w:val="000001000000"/>
            <w:tcW w:w="2096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Применение полученных знаний в учебной деятельности</w:t>
            </w:r>
          </w:p>
        </w:tc>
        <w:tc>
          <w:tcPr>
            <w:cnfStyle w:val="000010000000"/>
            <w:tcW w:w="2075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Формирование у обучающихся представления об информации и информационных процессах в углубленном формате,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рименение знаний в измененных ситуациях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</w:t>
            </w:r>
          </w:p>
        </w:tc>
        <w:tc>
          <w:tcPr>
            <w:cnfStyle w:val="000001000000"/>
            <w:tcW w:w="1944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25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мин</w:t>
            </w:r>
          </w:p>
        </w:tc>
        <w:tc>
          <w:tcPr>
            <w:cnfStyle w:val="000010000000"/>
            <w:tcW w:w="46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Д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аёт задание обучающимся (Приложение 5), после чего они работают над таблицей совместно со своим товарищем по парте (Приложение 2), организует фронтальную работу, п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роводить игру с обучающимися (Приложение 3), делить их на 2 группы, следит за процессом выполнения задания, после чего обговаривает с ними ответы.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«Ребята, Вам необходимо каждому пройти задание на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>l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earningapps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после чего показать мне Ваши ответы.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...Ребята проходят...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А теперь, Вам необходимо заполнить таблицу совместно с соседом по парте, после мы обязательно её обговорим.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Далее задание об областях науки выполним совместно (один из учеников выходит к доске для разбора задания).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Теперь мы с Вами поиграем в небольшую игру для лучшего закрепления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темы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(делит обучающихся на 2 группы, разъясняет задание).»</w:t>
            </w:r>
          </w:p>
        </w:tc>
        <w:tc>
          <w:tcPr>
            <w:cnfStyle w:val="000001000000"/>
            <w:tcW w:w="22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Участвуют в обсуждении, выполняют задания индивидуально, в парах, фронтально, также выполняют задания игры, о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твечают на вопрос, участвуют в обсуждении правильных ответов.</w:t>
            </w:r>
          </w:p>
        </w:tc>
        <w:tc>
          <w:tcPr>
            <w:cnfStyle w:val="000010000000"/>
            <w:tcW w:w="261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 xml:space="preserve">Познавательные: уметь анализировать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 xml:space="preserve">текст,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выбирать наиболее эффективные способы выполнения задания.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Регулятивные: уметь планировать свою деятельность для решения поставленной задачи, контролировать полученный результат, корректировать результат.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Коммуникативные: уметь взаимодействовать с партнерами по совместной деятельности, осознанно строить речевое высказывание, развивать диалогическую речь,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 xml:space="preserve"> формулировать и аргументировать свое мнение.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Личностные: развитие внимания, зрительной и слуховой памяти, возможность самостоятельно осуществлять деятельность обучения.</w:t>
            </w:r>
          </w:p>
        </w:tc>
      </w:tr>
      <w:tr>
        <w:trPr>
          <w:cnfStyle w:val="000000000000"/>
        </w:trPr>
        <w:tc>
          <w:tcPr>
            <w:cnfStyle w:val="000010000000"/>
            <w:tcW w:w="56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  <w:t>5</w:t>
            </w:r>
          </w:p>
        </w:tc>
        <w:tc>
          <w:tcPr>
            <w:cnfStyle w:val="000001000000"/>
            <w:tcW w:w="2096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Рефлексия</w:t>
            </w:r>
          </w:p>
        </w:tc>
        <w:tc>
          <w:tcPr>
            <w:cnfStyle w:val="000010000000"/>
            <w:tcW w:w="2075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Формирование целостной системы ведущих знаний по теме, анализ и оценка успешности достижения цели.</w:t>
            </w:r>
          </w:p>
        </w:tc>
        <w:tc>
          <w:tcPr>
            <w:cnfStyle w:val="000001000000"/>
            <w:tcW w:w="1944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4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мин</w:t>
            </w:r>
          </w:p>
        </w:tc>
        <w:tc>
          <w:tcPr>
            <w:cnfStyle w:val="000010000000"/>
            <w:tcW w:w="46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Даёт качественную оценку работы класса и отдельно обучающихся.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«Ребята, на доске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Padlet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закреплена ссылка для прохождения рефлексии, Вам необходимо её пройти для того, чтобы я могла Вас полноценно оценить на сегодняшнем уроке.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...Пока ребята проходят учитель оценивает их деятельность на уроке.»</w:t>
            </w:r>
          </w:p>
        </w:tc>
        <w:tc>
          <w:tcPr>
            <w:cnfStyle w:val="000001000000"/>
            <w:tcW w:w="22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Оценивают полученные знания, заполняют форму.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yellow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«Заходят на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Padlet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доску, проходят по ссылке, отвечают.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»</w:t>
            </w:r>
          </w:p>
        </w:tc>
        <w:tc>
          <w:tcPr>
            <w:cnfStyle w:val="000010000000"/>
            <w:tcW w:w="261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Коммуникативные: формулировать и аргументировать свое мнение.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Регулятивные: контроль и оценка своей деятельности в рамках урока.</w:t>
            </w:r>
          </w:p>
        </w:tc>
      </w:tr>
      <w:tr>
        <w:trPr>
          <w:cnfStyle w:val="000000000000"/>
        </w:trPr>
        <w:tc>
          <w:tcPr>
            <w:cnfStyle w:val="000010000000"/>
            <w:tcW w:w="56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center"/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/>
                <w:bCs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  <w:t>6</w:t>
            </w:r>
          </w:p>
        </w:tc>
        <w:tc>
          <w:tcPr>
            <w:cnfStyle w:val="000001000000"/>
            <w:tcW w:w="2096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Домашнее задание</w:t>
            </w:r>
          </w:p>
        </w:tc>
        <w:tc>
          <w:tcPr>
            <w:cnfStyle w:val="000010000000"/>
            <w:tcW w:w="2075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Разъяснение домашнего задания, предупреждение о возможных затруднениях.</w:t>
            </w:r>
          </w:p>
        </w:tc>
        <w:tc>
          <w:tcPr>
            <w:cnfStyle w:val="000001000000"/>
            <w:tcW w:w="1944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3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мин</w:t>
            </w:r>
          </w:p>
        </w:tc>
        <w:tc>
          <w:tcPr>
            <w:cnfStyle w:val="000010000000"/>
            <w:tcW w:w="46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Даёт информацию и инструктаж по домашнему заданию.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Обеспечивает понимание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обучающимися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содержания и способов выполнения домашнего задания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, так же оговаривает критерии оценивания.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«Ребята, домашним заданием будет изучение темы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«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Информационная культура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и информационная грамотность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»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, видеоматериал будет представлен на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  <w:t xml:space="preserve">padlet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доске, после изучения Вам необходимо законспектировать материал в соответствии с формой, а также составить ментальную карту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.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Можете подойти и в журнале увидеть оценку за Вашу деятельность на уроке. Но оценка в электронный журнал пойдет с учетом также пройденной Вами рефлексии. Если у Вас есть ко мне вопросы, то можете их задать. 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Урок окончен. Спасибо за Вашу работу, до свидания!»</w:t>
            </w:r>
          </w:p>
        </w:tc>
        <w:tc>
          <w:tcPr>
            <w:cnfStyle w:val="000001000000"/>
            <w:tcW w:w="2237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Записывают информацию о предстоящем задании, задают вопрос учителю по изученному материалу, так же узнают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 оценки за свою деятельность на уроке (но общая оценка за урок будет выставлена учителем в электронный дневник после проверки рефлексии).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«Задают вопросы...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highlight w:val="none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 xml:space="preserve">Смотрят оценки в журнале. </w:t>
            </w:r>
            <w:r>
              <w:rPr>
                <w:rFonts w:ascii="Times New Roman" w:cs="Times New Roman" w:eastAsia="Calibri" w:hAnsi="Times New Roman"/>
                <w:b w:val="off"/>
                <w:bCs w:val="off"/>
                <w:i/>
                <w:iCs/>
                <w:color w:val="000000"/>
                <w:sz w:val="24"/>
                <w:szCs w:val="24"/>
                <w:highlight w:val="none"/>
                <w:rtl w:val="off"/>
                <w:lang w:val="ru-RU" w:eastAsia="ru-RU"/>
              </w:rPr>
              <w:t>Спасибо, до свидания!»</w:t>
            </w:r>
          </w:p>
        </w:tc>
        <w:tc>
          <w:tcPr>
            <w:cnfStyle w:val="000010000000"/>
            <w:tcW w:w="2610" w:type="dxa"/>
            <w:gridSpan w:val="1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150" w:line="240" w:lineRule="auto"/>
              <w:ind w:right="0"/>
              <w:jc w:val="both"/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en-US" w:eastAsia="ru-RU"/>
              </w:rPr>
            </w:pPr>
            <w:r>
              <w:rPr>
                <w:rFonts w:ascii="Times New Roman" w:cs="Times New Roman" w:eastAsia="Calibri" w:hAnsi="Times New Roman"/>
                <w:b w:val="off"/>
                <w:bCs w:val="off"/>
                <w:i w:val="off"/>
                <w:iCs w:val="off"/>
                <w:color w:val="000000"/>
                <w:sz w:val="24"/>
                <w:szCs w:val="24"/>
                <w:rtl w:val="off"/>
                <w:lang w:val="ru-RU" w:eastAsia="ru-RU"/>
              </w:rPr>
              <w:t>Личностные: формировать навыки самоорганизации.</w:t>
            </w:r>
          </w:p>
        </w:tc>
      </w:tr>
    </w:tbl>
    <w:p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auto"/>
          <w:sz w:val="24"/>
          <w:szCs w:val="24"/>
          <w:lang w:eastAsia="ru-RU"/>
        </w:rPr>
        <w:sectPr>
          <w:type w:val="nextPage"/>
          <w:pgSz w:w="16838" w:h="11906" w:orient="landscape"/>
          <w:pgMar w:top="1134" w:right="1134" w:bottom="567" w:left="1134" w:header="709" w:footer="709" w:gutter="0"/>
          <w:cols w:space="708"/>
        </w:sectPr>
      </w:pPr>
    </w:p>
    <w:p>
      <w:pPr>
        <w:spacing w:after="160" w:line="259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Приложения</w:t>
      </w:r>
    </w:p>
    <w:p>
      <w:pPr>
        <w:spacing w:after="0" w:line="360" w:lineRule="auto"/>
        <w:jc w:val="right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Приложение 1</w:t>
      </w:r>
    </w:p>
    <w:p>
      <w:pPr>
        <w:spacing w:after="0" w:line="360" w:lineRule="auto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Р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екомендации для доурочн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ой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 xml:space="preserve"> подготовк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и обучающихся по уроку</w:t>
      </w:r>
    </w:p>
    <w:p>
      <w:pPr>
        <w:spacing w:after="0" w:line="360" w:lineRule="auto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«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Информация и информационные процессы»</w:t>
      </w:r>
    </w:p>
    <w:p>
      <w:pPr>
        <w:spacing w:after="0" w:line="360" w:lineRule="auto"/>
        <w:jc w:val="both"/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sz w:val="28"/>
          <w:szCs w:val="28"/>
          <w:lang w:val="ru-RU" w:eastAsia="ru-RU"/>
        </w:rPr>
        <w:t>Задание №1. Конспект по уроку</w:t>
      </w:r>
    </w:p>
    <w:p>
      <w:pPr>
        <w:spacing w:after="0" w:line="360" w:lineRule="auto"/>
        <w:ind w:left="720" w:right="0" w:firstLine="0"/>
        <w:jc w:val="right"/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val="ru-RU"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val="ru-RU" w:eastAsia="ru-RU"/>
        </w:rPr>
        <w:t>Таблица 2</w:t>
      </w:r>
    </w:p>
    <w:p>
      <w:pPr>
        <w:spacing w:after="0" w:line="360" w:lineRule="auto"/>
        <w:ind w:left="720" w:right="0" w:firstLine="0"/>
        <w:jc w:val="center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Форма для заполнения:</w:t>
      </w:r>
    </w:p>
    <w:tbl>
      <w:tblPr>
        <w:tblStyle w:val="TableGrid"/>
        <w:tblW w:w="9240" w:type="dxa"/>
        <w:tblInd w:w="0" w:type="dxa"/>
      </w:tblPr>
      <w:tblGrid>
        <w:gridCol w:w="3080"/>
        <w:gridCol w:w="3080"/>
        <w:gridCol w:w="3080"/>
      </w:tblGrid>
      <w:tr>
        <w:trPr>
          <w:cnfStyle w:val="100000000000"/>
        </w:trPr>
        <w:tc>
          <w:tcPr>
            <w:cnfStyle w:val="1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 xml:space="preserve">Информация </w:t>
            </w:r>
          </w:p>
        </w:tc>
        <w:tc>
          <w:tcPr>
            <w:cnfStyle w:val="100001000000"/>
            <w:tcW w:w="6160" w:type="dxa"/>
            <w:gridSpan w:val="2"/>
          </w:tcPr>
          <w:p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 xml:space="preserve">это </w:t>
            </w: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Подходы к понятию информации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2.</w:t>
            </w: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Виды информации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По способу восприятия:</w:t>
            </w: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По форме представления:</w:t>
            </w:r>
          </w:p>
        </w:tc>
      </w:tr>
      <w:tr>
        <w:trPr>
          <w:cnfStyle w:val="000000000000"/>
          <w:trHeight w:val="2940" w:hRule="atLeast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Свойства информации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1.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2.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3.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4.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5.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6.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7.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Примеры для каждого свойства: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1.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2.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3.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4.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5.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6.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7.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8.</w:t>
            </w: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Информационный процесс</w:t>
            </w:r>
          </w:p>
        </w:tc>
        <w:tc>
          <w:tcPr>
            <w:cnfStyle w:val="000001000000"/>
            <w:tcW w:w="6160" w:type="dxa"/>
            <w:gridSpan w:val="2"/>
          </w:tcPr>
          <w:p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это</w:t>
            </w: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Основные информационные процессы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1.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2.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3.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Описание к каждому информационному процессу: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1.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2.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3.</w:t>
            </w:r>
          </w:p>
          <w:p>
            <w:pPr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  <w:t>4.</w:t>
            </w:r>
          </w:p>
        </w:tc>
      </w:tr>
    </w:tbl>
    <w:p>
      <w:pPr>
        <w:spacing w:after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</w:p>
    <w:p>
      <w:pPr>
        <w:spacing w:after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i/>
          <w:iCs/>
          <w:sz w:val="28"/>
          <w:szCs w:val="28"/>
          <w:lang w:val="ru-RU" w:eastAsia="ru-RU"/>
        </w:rPr>
        <w:t>Задание №2. Ментальная карта по теме урока</w:t>
      </w:r>
    </w:p>
    <w:p>
      <w:pPr>
        <w:spacing w:after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ru-RU" w:eastAsia="ru-RU"/>
        </w:rPr>
        <w:t>Составьте свою ментальную карту, п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ru-RU" w:eastAsia="ru-RU"/>
        </w:rPr>
        <w:t xml:space="preserve">ользуясь инструкцией по созданию, представленной на доске 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en-US" w:eastAsia="ru-RU"/>
        </w:rPr>
        <w:t>padlet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ru-RU" w:eastAsia="ru-RU"/>
        </w:rPr>
        <w:t xml:space="preserve">. 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 xml:space="preserve">Обратите также внимание на критерии оценивания ментальных карт, 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ru-RU" w:eastAsia="ru-RU"/>
        </w:rPr>
        <w:t>представленн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ru-RU" w:eastAsia="ru-RU"/>
        </w:rPr>
        <w:t>ые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ru-RU" w:eastAsia="ru-RU"/>
        </w:rPr>
        <w:t xml:space="preserve"> на доске 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en-US" w:eastAsia="ru-RU"/>
        </w:rPr>
        <w:t>padlet.</w:t>
      </w:r>
    </w:p>
    <w:p>
      <w:pPr>
        <w:spacing w:after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sz w:val="28"/>
          <w:szCs w:val="28"/>
          <w:lang w:val="ru-RU" w:eastAsia="ru-RU"/>
        </w:rPr>
        <w:t>В ментальной карте отразите:</w:t>
      </w:r>
    </w:p>
    <w:p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 xml:space="preserve">тема урока 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«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Информация и информационные процессы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»;</w:t>
      </w:r>
    </w:p>
    <w:p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виды информации (по способу восприятия и форме представления, без расшифровок);</w:t>
      </w:r>
    </w:p>
    <w:p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свойства информации (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без расшифровок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);</w:t>
      </w:r>
    </w:p>
    <w:p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информационные процессы (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без расшифровок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);</w:t>
      </w:r>
    </w:p>
    <w:p>
      <w:pPr>
        <w:spacing w:after="160" w:line="259" w:lineRule="auto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br w:type="page"/>
      </w:r>
    </w:p>
    <w:p>
      <w:pPr>
        <w:spacing w:after="0" w:line="360" w:lineRule="auto"/>
        <w:jc w:val="right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2</w:t>
      </w:r>
    </w:p>
    <w:p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Таблицы для заполнения (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работа в парах)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№</w:t>
      </w:r>
      <w:r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  <w:t>1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  <w:t>Рассмотрите примеры информационных процессов и заполните пропуски:</w:t>
      </w:r>
    </w:p>
    <w:p>
      <w:pPr>
        <w:spacing w:after="0" w:line="360" w:lineRule="auto"/>
        <w:ind w:left="720" w:right="0" w:firstLine="0"/>
        <w:jc w:val="right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val="ru-RU" w:eastAsia="ru-RU"/>
        </w:rPr>
        <w:t>Таблица 3</w:t>
      </w:r>
    </w:p>
    <w:tbl>
      <w:tblPr>
        <w:tblStyle w:val="TableGrid"/>
        <w:tblW w:w="9240" w:type="dxa"/>
        <w:tblInd w:w="0" w:type="dxa"/>
      </w:tblPr>
      <w:tblGrid>
        <w:gridCol w:w="1897"/>
        <w:gridCol w:w="1836"/>
        <w:gridCol w:w="1836"/>
        <w:gridCol w:w="1835"/>
        <w:gridCol w:w="1836"/>
      </w:tblGrid>
      <w:tr>
        <w:trPr/>
        <w:tc>
          <w:tcPr>
            <w:cnfStyle w:val="100010000000"/>
            <w:tcW w:w="1848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Процесс</w:t>
            </w:r>
          </w:p>
        </w:tc>
        <w:tc>
          <w:tcPr>
            <w:cnfStyle w:val="100001000000"/>
            <w:tcW w:w="369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Передача</w:t>
            </w:r>
          </w:p>
        </w:tc>
        <w:tc>
          <w:tcPr>
            <w:cnfStyle w:val="100010000000"/>
            <w:tcW w:w="1848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Где храниться (носитель)</w:t>
            </w:r>
          </w:p>
        </w:tc>
        <w:tc>
          <w:tcPr>
            <w:cnfStyle w:val="100001000000"/>
            <w:tcW w:w="1848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Как обрабатывается (возможные помехи)</w:t>
            </w:r>
          </w:p>
        </w:tc>
      </w:tr>
      <w:tr>
        <w:trPr/>
        <w:tc>
          <w:tcPr>
            <w:cnfStyle w:val="000010000000"/>
            <w:tcW w:w="1848" w:type="dxa"/>
            <w:vMerge w:val="continue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источник</w:t>
            </w: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приемник</w:t>
            </w:r>
          </w:p>
        </w:tc>
        <w:tc>
          <w:tcPr>
            <w:cnfStyle w:val="000001000000"/>
            <w:tcW w:w="1848" w:type="dxa"/>
            <w:vMerge w:val="continue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  <w:vMerge w:val="continue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/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Мы смотрим новости по телевизору</w:t>
            </w: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/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Банк располагает данными о своих вкладчиках</w:t>
            </w: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/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Петя решает задачу по математике</w:t>
            </w: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/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Автоматическое управление полетом ракеты</w:t>
            </w: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/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Открытие двери ключом</w:t>
            </w: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/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Животное охраняя свою территорию оставляет пахучие метки</w:t>
            </w: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/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Маша играет в компьютерную игру</w:t>
            </w: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848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№</w:t>
      </w:r>
      <w:r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  <w:t xml:space="preserve">2 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  <w:t>Укажите, в каком виде представлена информация в следующих примерах:</w:t>
      </w:r>
    </w:p>
    <w:p>
      <w:pPr>
        <w:spacing w:after="0" w:line="360" w:lineRule="auto"/>
        <w:ind w:left="720" w:right="0" w:firstLine="0"/>
        <w:jc w:val="right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val="ru-RU" w:eastAsia="ru-RU"/>
        </w:rPr>
        <w:t>Таблица 4</w:t>
      </w:r>
    </w:p>
    <w:tbl>
      <w:tblPr>
        <w:tblStyle w:val="TableGrid"/>
        <w:tblW w:w="9240" w:type="dxa"/>
        <w:tblInd w:w="0" w:type="dxa"/>
      </w:tblPr>
      <w:tblGrid>
        <w:gridCol w:w="3080"/>
        <w:gridCol w:w="3080"/>
        <w:gridCol w:w="3080"/>
      </w:tblGrid>
      <w:tr>
        <w:trPr>
          <w:cnfStyle w:val="100000000000"/>
          <w:trHeight w:val="399" w:hRule="atLeast"/>
        </w:trPr>
        <w:tc>
          <w:tcPr>
            <w:cnfStyle w:val="100010000000"/>
            <w:tcW w:w="3080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Пример</w:t>
            </w:r>
          </w:p>
        </w:tc>
        <w:tc>
          <w:tcPr>
            <w:cnfStyle w:val="100001000000"/>
            <w:tcW w:w="616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Вид информации</w:t>
            </w:r>
          </w:p>
        </w:tc>
      </w:tr>
      <w:tr>
        <w:trPr>
          <w:cnfStyle w:val="000000000000"/>
        </w:trPr>
        <w:tc>
          <w:tcPr>
            <w:cnfStyle w:val="000010000000"/>
            <w:tcW w:w="3080" w:type="dxa"/>
            <w:vMerge w:val="continue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По способу восприятия</w:t>
            </w: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По форме представления</w:t>
            </w: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Чертёж к задаче по геометрии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Письмо другу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Картина в галерее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Радиопередача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Телепередача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Аромат сирени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Вкус лимона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Температура воздуха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>
        <w:trPr>
          <w:cnfStyle w:val="000000000000"/>
        </w:trPr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 w:eastAsia="ru-RU"/>
              </w:rPr>
              <w:t>Жёлтый цвет</w:t>
            </w:r>
          </w:p>
        </w:tc>
        <w:tc>
          <w:tcPr>
            <w:cnfStyle w:val="000001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3080" w:type="dxa"/>
          </w:tcPr>
          <w:p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b w:val="off"/>
          <w:bCs w:val="off"/>
          <w:sz w:val="32"/>
          <w:szCs w:val="32"/>
          <w:lang w:val="ru-RU" w:eastAsia="ru-RU"/>
        </w:rPr>
      </w:pPr>
    </w:p>
    <w:p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Задания об областях науки</w:t>
      </w:r>
    </w:p>
    <w:p>
      <w:pPr>
        <w:spacing w:after="0" w:line="240" w:lineRule="auto"/>
        <w:ind w:right="0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В представленных ниже рисунках впишите возможное название областей наук, где происходят различные виды информационных процессов, опишите их основные характеристики:</w:t>
      </w:r>
    </w:p>
    <w:p>
      <w:pPr>
        <w:spacing w:after="0" w:line="360" w:lineRule="auto"/>
        <w:ind w:left="720" w:right="0" w:firstLine="0"/>
        <w:jc w:val="right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val="ru-RU" w:eastAsia="ru-RU"/>
        </w:rPr>
        <w:t xml:space="preserve">Таблица </w:t>
      </w: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val="ru-RU" w:eastAsia="ru-RU"/>
        </w:rPr>
        <w:t>5</w:t>
      </w:r>
    </w:p>
    <w:tbl>
      <w:tblPr>
        <w:tblStyle w:val="TableGrid"/>
        <w:tblInd w:w="0" w:type="dxa"/>
      </w:tblPr>
      <w:tblGrid>
        <w:gridCol w:w="4621"/>
        <w:gridCol w:w="4621"/>
      </w:tblGrid>
      <w:tr>
        <w:trPr/>
        <w:tc>
          <w:tcPr>
            <w:cnfStyle w:val="100010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Область</w:t>
            </w:r>
          </w:p>
        </w:tc>
        <w:tc>
          <w:tcPr>
            <w:cnfStyle w:val="100001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Характеристика</w:t>
            </w:r>
          </w:p>
        </w:tc>
      </w:tr>
      <w:tr>
        <w:trPr/>
        <w:tc>
          <w:tcPr>
            <w:cnfStyle w:val="000010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drawing xmlns:mc="http://schemas.openxmlformats.org/markup-compatibility/2006">
                <wp:inline distT="0" distB="0" distL="0" distR="0">
                  <wp:extent cx="917575" cy="7797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5"/>
                          <a:srcRect l="13007" t="8859" r="66352" b="77553"/>
                          <a:stretch/>
                        </pic:blipFill>
                        <pic:spPr>
                          <a:xfrm>
                            <a:off x="0" y="0"/>
                            <a:ext cx="917575" cy="7797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</w:pPr>
          </w:p>
        </w:tc>
      </w:tr>
      <w:tr>
        <w:trPr/>
        <w:tc>
          <w:tcPr>
            <w:cnfStyle w:val="000010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drawing xmlns:mc="http://schemas.openxmlformats.org/markup-compatibility/2006">
                <wp:inline distT="0" distB="0" distL="0" distR="0">
                  <wp:extent cx="708025" cy="65913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6"/>
                          <a:srcRect l="51755" t="36220" r="32317" b="52293"/>
                          <a:stretch/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</w:pPr>
          </w:p>
        </w:tc>
      </w:tr>
      <w:tr>
        <w:trPr/>
        <w:tc>
          <w:tcPr>
            <w:cnfStyle w:val="000010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drawing xmlns:mc="http://schemas.openxmlformats.org/markup-compatibility/2006">
                <wp:inline distT="0" distB="0" distL="0" distR="0">
                  <wp:extent cx="739775" cy="81788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7"/>
                          <a:srcRect l="14436" t="35668" r="68926" b="50076"/>
                          <a:stretch/>
                        </pic:blipFill>
                        <pic:spPr>
                          <a:xfrm>
                            <a:off x="0" y="0"/>
                            <a:ext cx="739775" cy="8178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</w:pPr>
          </w:p>
        </w:tc>
      </w:tr>
      <w:tr>
        <w:trPr/>
        <w:tc>
          <w:tcPr>
            <w:cnfStyle w:val="000010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drawing xmlns:mc="http://schemas.openxmlformats.org/markup-compatibility/2006">
                <wp:inline distT="0" distB="0" distL="0" distR="0">
                  <wp:extent cx="1558925" cy="58293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8"/>
                          <a:srcRect l="54339" t="10518" r="10578" b="79327"/>
                          <a:stretch/>
                        </pic:blipFill>
                        <pic:spPr>
                          <a:xfrm>
                            <a:off x="0" y="0"/>
                            <a:ext cx="1558925" cy="58293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/>
            <w:tcW w:w="4621" w:type="dxa"/>
          </w:tcPr>
          <w:p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off"/>
                <w:bCs w:val="off"/>
                <w:sz w:val="24"/>
                <w:szCs w:val="24"/>
                <w:lang w:val="ru-RU" w:eastAsia="ru-RU"/>
              </w:rPr>
            </w:pPr>
          </w:p>
        </w:tc>
      </w:tr>
    </w:tbl>
    <w:p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Источники:</w:t>
      </w:r>
    </w:p>
    <w:p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  <w:t>Босова, Л. Л. Рабочая тетрадь по информатике для 10 класса / Л. Л. Босова. — Текст : электронный // ИНФОУРОК : [сайт]. — URL: https://infourok.ru/rabochaya-tetrad-po-informatike-dlya-klassa-710216.html (дата обращения: 01.03.2023).</w:t>
      </w:r>
    </w:p>
    <w:p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  <w:t>Анатольев, А. В.  Рабочая тетрадь по информатике для 10-го класса / А. В. Анатольев. — Текст : электронный // Анатольев.рф : [сайт]. — URL: http://kosmonavtom.rusedu.net/gallery/143/2011-12_RT_(informatika)_10_klass_(2_chasa).pdf (дата обращения: 01.03.2023).</w:t>
      </w:r>
    </w:p>
    <w:p>
      <w:pPr>
        <w:spacing w:after="160" w:line="259" w:lineRule="auto"/>
        <w:rPr>
          <w:rFonts w:ascii="Calibri" w:cs="Arial" w:eastAsia="Times New Roman" w:hAnsi="Calibri"/>
          <w:sz w:val="22"/>
          <w:szCs w:val="22"/>
          <w:lang w:eastAsia="ru-RU"/>
        </w:rPr>
      </w:pPr>
      <w:r>
        <w:rPr>
          <w:rFonts w:ascii="Calibri" w:cs="Arial" w:eastAsia="Times New Roman" w:hAnsi="Calibri"/>
          <w:sz w:val="22"/>
          <w:szCs w:val="22"/>
          <w:lang w:eastAsia="ru-RU"/>
        </w:rPr>
        <w:br w:type="page"/>
      </w:r>
    </w:p>
    <w:p>
      <w:pPr>
        <w:spacing w:after="0" w:line="360" w:lineRule="auto"/>
        <w:jc w:val="right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3</w:t>
      </w:r>
    </w:p>
    <w:p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Буклет-игра</w:t>
      </w:r>
    </w:p>
    <w:p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drawing xmlns:mc="http://schemas.openxmlformats.org/markup-compatibility/2006">
          <wp:inline distT="0" distB="0" distL="0" distR="0">
            <wp:extent cx="6120130" cy="4326890"/>
            <wp:effectExtent l="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eastAsia="ru-RU"/>
        </w:rPr>
        <w:t>Рис. 1. Буклет-игра</w:t>
      </w:r>
    </w:p>
    <w:p>
      <w:pPr>
        <w:spacing w:after="160" w:line="259" w:lineRule="auto"/>
        <w:rPr>
          <w:rFonts w:ascii="Calibri" w:cs="Arial" w:eastAsia="Times New Roman" w:hAnsi="Calibri"/>
          <w:sz w:val="22"/>
          <w:szCs w:val="22"/>
          <w:lang w:eastAsia="ru-RU"/>
        </w:rPr>
      </w:pPr>
      <w:r>
        <w:rPr>
          <w:rFonts w:ascii="Calibri" w:cs="Arial" w:eastAsia="Times New Roman" w:hAnsi="Calibri"/>
          <w:sz w:val="22"/>
          <w:szCs w:val="22"/>
          <w:lang w:eastAsia="ru-RU"/>
        </w:rPr>
        <w:br w:type="page"/>
      </w:r>
    </w:p>
    <w:p>
      <w:pPr>
        <w:spacing w:after="0" w:line="240" w:lineRule="auto"/>
        <w:jc w:val="right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4</w:t>
      </w:r>
    </w:p>
    <w:p>
      <w:pPr>
        <w:spacing w:after="0" w:line="240" w:lineRule="auto"/>
        <w:contextualSpacing w:val="on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Критерии оценки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ментальной карты</w:t>
      </w:r>
    </w:p>
    <w:p>
      <w:pPr>
        <w:spacing w:after="0" w:line="360" w:lineRule="auto"/>
        <w:ind w:left="720" w:right="0" w:firstLine="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val="ru-RU" w:eastAsia="ru-RU"/>
        </w:rPr>
        <w:t xml:space="preserve">Таблица </w:t>
      </w: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lang w:val="ru-RU" w:eastAsia="ru-RU"/>
        </w:rPr>
        <w:t>6</w:t>
      </w:r>
    </w:p>
    <w:tbl>
      <w:tblPr>
        <w:tblW w:w="9288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79"/>
        <w:gridCol w:w="6108"/>
      </w:tblGrid>
      <w:tr>
        <w:trPr>
          <w:cnfStyle w:val="100000000000"/>
          <w:trHeight w:val="193" w:hRule="atLeast"/>
        </w:trPr>
        <w:tc>
          <w:tcPr>
            <w:cnfStyle w:val="101000000000"/>
            <w:tcW w:w="26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cnfStyle w:val="100000000000"/>
            <w:tcW w:w="5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</w:tr>
      <w:tr>
        <w:trPr>
          <w:cnfStyle w:val="000000100000"/>
          <w:trHeight w:val="989"/>
        </w:trPr>
        <w:tc>
          <w:tcPr>
            <w:cnfStyle w:val="001000100000"/>
            <w:tcW w:w="26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«5» - «отлично»</w:t>
            </w:r>
          </w:p>
        </w:tc>
        <w:tc>
          <w:tcPr>
            <w:cnfStyle w:val="000000100000"/>
            <w:tcW w:w="5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полнота использования учебного материала;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логика изложения материала в соответствии с планом;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терминологическая и орфографическая грамотность;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демонстрирует полное понимание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структурирование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темы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ментальная карта оформлена грамотно и аккуратно;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оригинальность составления ментальной карты.</w:t>
            </w:r>
          </w:p>
        </w:tc>
      </w:tr>
      <w:tr>
        <w:trPr>
          <w:cnfStyle w:val="000000010000"/>
          <w:trHeight w:val="865"/>
        </w:trPr>
        <w:tc>
          <w:tcPr>
            <w:cnfStyle w:val="001000010000"/>
            <w:tcW w:w="26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«4» - «хорошо»</w:t>
            </w:r>
          </w:p>
        </w:tc>
        <w:tc>
          <w:tcPr>
            <w:cnfStyle w:val="000000010000"/>
            <w:tcW w:w="5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неполное использование учебного материала;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логика изложения материала в соответствии с планом;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для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оформления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ментальной карты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студент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ис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пользует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цвета и символы;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 карте допущены информа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тив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 неточности;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ментальная карта оформлена грамотно и аккуратно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>
        <w:trPr>
          <w:cnfStyle w:val="000000100000"/>
          <w:trHeight w:val="865"/>
        </w:trPr>
        <w:tc>
          <w:tcPr>
            <w:cnfStyle w:val="001000100000"/>
            <w:tcW w:w="26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«3» - «удовлетворительно»</w:t>
            </w:r>
          </w:p>
        </w:tc>
        <w:tc>
          <w:tcPr>
            <w:cnfStyle w:val="000000100000"/>
            <w:tcW w:w="5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отсутствие связ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и, структуры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разделов ментальной карты;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карта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составлен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по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правилам, наспех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язык работы в целом не соответствует уровню студента;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допущена информативная неточность и недостоверность фактов;</w:t>
            </w:r>
          </w:p>
        </w:tc>
      </w:tr>
      <w:tr>
        <w:trPr>
          <w:cnfStyle w:val="000000010000"/>
          <w:trHeight w:val="865"/>
        </w:trPr>
        <w:tc>
          <w:tcPr>
            <w:cnfStyle w:val="001000010000"/>
            <w:tcW w:w="26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«2» - «неудовлетворительно»</w:t>
            </w:r>
          </w:p>
        </w:tc>
        <w:tc>
          <w:tcPr>
            <w:cnfStyle w:val="000000010000"/>
            <w:tcW w:w="5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отсутствие связи, структуры разделов ментальной карты; 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карта составлена не по правилам, наспех;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язык работы в целом не соответствует уровню студента;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имеются орфографические ошибки;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допущена информативная неточность и недостоверность фактов;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грубое нарушение правил составление ментальной карты;</w:t>
            </w:r>
          </w:p>
          <w:p>
            <w:pPr>
              <w:spacing w:after="0" w:line="240" w:lineRule="auto"/>
              <w:contextualSpacing w:val="on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имеются орфографические ошибки.</w:t>
            </w:r>
          </w:p>
        </w:tc>
      </w:tr>
    </w:tbl>
    <w:p>
      <w:pPr>
        <w:shd w:val="clear" w:color="auto" w:fill="ffffff"/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</w:p>
    <w:p>
      <w:pPr>
        <w:spacing w:after="160" w:line="259" w:lineRule="auto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br w:type="page"/>
      </w:r>
    </w:p>
    <w:p>
      <w:pPr>
        <w:spacing w:after="0" w:line="240" w:lineRule="auto"/>
        <w:jc w:val="right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5</w:t>
      </w:r>
    </w:p>
    <w:p>
      <w:pPr>
        <w:spacing w:after="0" w:line="36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Необходимые ссылки:</w:t>
      </w:r>
    </w:p>
    <w:p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  <w:t>Рефлексия:</w:t>
      </w:r>
      <w:r>
        <w:fldChar w:fldCharType="begin"/>
      </w:r>
      <w:r>
        <w:instrText xml:space="preserve">HYPERLINK "https://docs.google.com/forms/d/1ls-9h3_kN7wGgOjZAc1nvzLOBO3Ttgzl-lv5Fgqln6g/edit"</w:instrText>
      </w:r>
      <w:r>
        <w:fldChar w:fldCharType="separate"/>
      </w:r>
      <w:r>
        <w:rPr>
          <w:rFonts w:ascii="Times New Roman" w:cs="Times New Roman" w:eastAsia="Times New Roman" w:hAnsi="Times New Roman"/>
          <w:b w:val="off"/>
          <w:bCs w:val="off"/>
          <w:color w:val="0563c1"/>
          <w:sz w:val="28"/>
          <w:szCs w:val="28"/>
          <w:u w:val="single"/>
          <w:lang w:eastAsia="ru-RU"/>
        </w:rPr>
        <w:t>https://docs.google.com/forms/d/1ls-9h3_kN7wGgOjZAc1nvzLOBO3Ttgzl-lv5Fgqln6g/edit</w:t>
      </w:r>
      <w:r>
        <w:fldChar w:fldCharType="end"/>
      </w:r>
    </w:p>
    <w:p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  <w:t xml:space="preserve">Задание №1: </w:t>
      </w:r>
      <w:r>
        <w:fldChar w:fldCharType="begin"/>
      </w:r>
      <w:r>
        <w:instrText xml:space="preserve">HYPERLINK "https://learningapps.org/watch?v=pjz56rsxt23"</w:instrText>
      </w:r>
      <w:r>
        <w:fldChar w:fldCharType="separate"/>
      </w:r>
      <w:r>
        <w:rPr>
          <w:rFonts w:ascii="Times New Roman" w:cs="Times New Roman" w:eastAsia="Times New Roman" w:hAnsi="Times New Roman"/>
          <w:b w:val="off"/>
          <w:bCs w:val="off"/>
          <w:color w:val="0563c1"/>
          <w:sz w:val="28"/>
          <w:szCs w:val="28"/>
          <w:u w:val="single"/>
          <w:lang w:eastAsia="ru-RU"/>
        </w:rPr>
        <w:t>https://learningapps.org/watch?v=pjz56rsxt23</w:t>
      </w:r>
      <w:r>
        <w:fldChar w:fldCharType="end"/>
      </w:r>
    </w:p>
    <w:p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  <w:t xml:space="preserve">Презентация доурочного материала: </w:t>
      </w:r>
      <w:r>
        <w:fldChar w:fldCharType="begin"/>
      </w:r>
      <w:r>
        <w:instrText xml:space="preserve">HYPERLINK "https://view.genial.ly/6440c6ec4cb90f001292a062/presentation-dourochnaya-prezentaciyaurok-1"</w:instrText>
      </w:r>
      <w:r>
        <w:fldChar w:fldCharType="separate"/>
      </w:r>
      <w:r>
        <w:rPr>
          <w:rFonts w:ascii="Times New Roman" w:cs="Times New Roman" w:eastAsia="Times New Roman" w:hAnsi="Times New Roman"/>
          <w:b w:val="off"/>
          <w:bCs w:val="off"/>
          <w:color w:val="0563c1"/>
          <w:sz w:val="28"/>
          <w:szCs w:val="28"/>
          <w:u w:val="single"/>
          <w:lang w:eastAsia="ru-RU"/>
        </w:rPr>
        <w:t>https://view.genial.ly/6440c6ec4cb90f001292a062/presentation-dourochnaya-prezentaciyaurok-1</w:t>
      </w:r>
      <w:r>
        <w:fldChar w:fldCharType="end"/>
      </w:r>
    </w:p>
    <w:p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  <w:t xml:space="preserve">Видео-доурочного материала: </w:t>
      </w:r>
      <w:r>
        <w:fldChar w:fldCharType="begin"/>
      </w:r>
      <w:r>
        <w:instrText xml:space="preserve">HYPERLINK "https://drive.google.com/file/d/1DTzafVoa30ZScCCt0VmXxIlf7kS8BuWh/view"</w:instrText>
      </w:r>
      <w:r>
        <w:fldChar w:fldCharType="separate"/>
      </w:r>
      <w:r>
        <w:rPr>
          <w:rFonts w:ascii="Times New Roman" w:cs="Times New Roman" w:eastAsia="Times New Roman" w:hAnsi="Times New Roman"/>
          <w:b w:val="off"/>
          <w:bCs w:val="off"/>
          <w:color w:val="0563c1"/>
          <w:sz w:val="28"/>
          <w:szCs w:val="28"/>
          <w:u w:val="single"/>
          <w:lang w:eastAsia="ru-RU"/>
        </w:rPr>
        <w:t>https://drive.google.com/file/d/1DTzafVoa30ZScCCt0VmXxIlf7kS8BuWh/view</w:t>
      </w:r>
      <w:r>
        <w:fldChar w:fldCharType="end"/>
      </w:r>
    </w:p>
    <w:p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  <w:t xml:space="preserve">Презентация урочный материал: </w:t>
      </w:r>
      <w:r>
        <w:fldChar w:fldCharType="begin"/>
      </w:r>
      <w:r>
        <w:instrText xml:space="preserve">HYPERLINK "https://docs.google.com/presentation/d/1yT-D6KDZLVGNQlONrpToia-xypDl72JD/edit" \l "slide=id.p1"</w:instrText>
      </w:r>
      <w:r>
        <w:fldChar w:fldCharType="separate"/>
      </w:r>
      <w:r>
        <w:rPr>
          <w:rFonts w:ascii="Times New Roman" w:cs="Times New Roman" w:eastAsia="Times New Roman" w:hAnsi="Times New Roman"/>
          <w:b w:val="off"/>
          <w:bCs w:val="off"/>
          <w:color w:val="0563c1"/>
          <w:sz w:val="28"/>
          <w:szCs w:val="28"/>
          <w:u w:val="single"/>
          <w:lang w:eastAsia="ru-RU"/>
        </w:rPr>
        <w:t>https://docs.google.com/presentation/d/1yT-D6KDZLVGNQlONrpToia-xypDl72JD/edit#slide=id.p1</w:t>
      </w:r>
      <w:r>
        <w:fldChar w:fldCharType="end"/>
      </w:r>
    </w:p>
    <w:p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  <w:sectPr>
          <w:type w:val="nextPage"/>
          <w:pgSz w:w="11906" w:h="16838" w:orient="portrait"/>
          <w:pgMar w:top="1134" w:right="1134" w:bottom="567" w:left="1134" w:header="709" w:footer="709" w:gutter="0"/>
          <w:cols w:space="708"/>
        </w:sect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  <w:t xml:space="preserve">Рекомендации по созданию ментальных карт: </w:t>
      </w:r>
      <w:r>
        <w:fldChar w:fldCharType="begin"/>
      </w:r>
      <w:r>
        <w:instrText xml:space="preserve">HYPERLINK "https://drive.google.com/file/d/1N_ymdq1tqrvDXN85vJhrYzcHWdREB329/view?usp=share_link"</w:instrText>
      </w:r>
      <w:r>
        <w:fldChar w:fldCharType="separate"/>
      </w:r>
      <w:r>
        <w:rPr>
          <w:rFonts w:ascii="Times New Roman" w:cs="Times New Roman" w:eastAsia="Times New Roman" w:hAnsi="Times New Roman"/>
          <w:b w:val="off"/>
          <w:bCs w:val="off"/>
          <w:color w:val="0563c1"/>
          <w:sz w:val="28"/>
          <w:szCs w:val="28"/>
          <w:u w:val="single"/>
          <w:lang w:eastAsia="ru-RU"/>
        </w:rPr>
        <w:t>https://drive.google.com/file/d/1N_ymdq1tqrvDXN85vJhrYzcHWdREB329/view?usp=share_link</w:t>
      </w:r>
      <w:r>
        <w:fldChar w:fldCharType="end"/>
      </w:r>
    </w:p>
    <w:p>
      <w:pPr>
        <w:spacing w:after="0" w:line="240" w:lineRule="auto"/>
        <w:jc w:val="right"/>
        <w:rPr>
          <w:rFonts w:ascii="Times New Roman" w:cs="Times New Roman" w:eastAsia="Calibri" w:hAnsi="Times New Roman"/>
          <w:b/>
          <w:bCs/>
          <w:i w:val="off"/>
          <w:iCs w:val="off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Приложение 6</w:t>
      </w:r>
    </w:p>
    <w:p>
      <w:pPr>
        <w:widowControl w:val="off"/>
        <w:spacing w:after="0" w:line="360" w:lineRule="auto"/>
        <w:ind w:firstLine="425"/>
        <w:jc w:val="center"/>
        <w:rPr>
          <w:rFonts w:ascii="Times New Roman" w:cs="Times New Roman" w:eastAsia="Calibri" w:hAnsi="Times New Roman"/>
          <w:b/>
          <w:bCs/>
          <w:i w:val="off"/>
          <w:iCs w:val="off"/>
          <w:sz w:val="28"/>
          <w:szCs w:val="28"/>
          <w:lang w:val="ru-RU" w:eastAsia="ru-RU"/>
        </w:rPr>
      </w:pPr>
      <w:r>
        <w:rPr>
          <w:rFonts w:ascii="Times New Roman" w:cs="Times New Roman" w:eastAsia="Calibri" w:hAnsi="Times New Roman"/>
          <w:b/>
          <w:bCs/>
          <w:i w:val="off"/>
          <w:iCs w:val="off"/>
          <w:sz w:val="28"/>
          <w:szCs w:val="28"/>
          <w:lang w:val="ru-RU" w:eastAsia="ru-RU"/>
        </w:rPr>
        <w:t>Список использованных источников</w:t>
      </w:r>
      <w:r>
        <w:rPr>
          <w:rFonts w:ascii="Times New Roman" w:cs="Times New Roman" w:eastAsia="Calibri" w:hAnsi="Times New Roman"/>
          <w:b/>
          <w:bCs/>
          <w:i w:val="off"/>
          <w:iCs w:val="off"/>
          <w:sz w:val="28"/>
          <w:szCs w:val="28"/>
          <w:lang w:val="ru-RU" w:eastAsia="ru-RU"/>
        </w:rPr>
        <w:t>:</w:t>
      </w:r>
    </w:p>
    <w:p>
      <w:pPr>
        <w:widowControl w:val="off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cs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cs="Times New Roman" w:eastAsia="Calibri" w:hAnsi="Times New Roman"/>
          <w:sz w:val="28"/>
          <w:szCs w:val="28"/>
          <w:lang w:val="ru-RU" w:eastAsia="ru-RU"/>
        </w:rPr>
        <w:t xml:space="preserve">Возможности открытой цифровой образовательной среды в условиях организации обучения в общеобразовательной школе // Научная электронная библиотека «КиберЛенинка». Режим доступа: https://cyberleninka.ru/article/n/vozmozhnosti-otkrytoy-tsifrovoy-obrazovatelnoy-sredy-v-usloviyah-organizatsii-obucheniya-v-obscheobrazovatelnoy-shkole. (дата обращения: 10.12.2022). </w:t>
      </w:r>
    </w:p>
    <w:p>
      <w:pPr>
        <w:widowControl w:val="off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cs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cs="Times New Roman" w:eastAsia="Calibri" w:hAnsi="Times New Roman"/>
          <w:sz w:val="28"/>
          <w:szCs w:val="28"/>
          <w:lang w:val="ru-RU" w:eastAsia="ru-RU"/>
        </w:rPr>
        <w:t>Технология «Перевернутый класс» как инструмент повышения качества образования //Научная электронная библиотека «КиберЛенинка». Режим доступа:  https://cyberleninka.ru/article/n/tehnologiya-perevernutyy-klass-kak-instrument-povysheniya-kachestva-obrazovaniya (дата обращения: 18.02.2022).</w:t>
      </w:r>
    </w:p>
    <w:p>
      <w:pPr>
        <w:widowControl w:val="off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cs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cs="Times New Roman" w:eastAsia="Calibri" w:hAnsi="Times New Roman"/>
          <w:sz w:val="28"/>
          <w:szCs w:val="28"/>
          <w:lang w:val="ru-RU" w:eastAsia="ru-RU"/>
        </w:rPr>
        <w:t>«Перевёрнутый» класс //Научная электронная библиотека «КиберЛенинка».- Режим доступа: https://cyberleninka.ru/article/n/perevyornutyy-klass. (дата обращения: 18.02.2022).</w:t>
      </w:r>
    </w:p>
    <w:p>
      <w:pPr>
        <w:widowControl w:val="off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cs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cs="Times New Roman" w:eastAsia="Calibri" w:hAnsi="Times New Roman"/>
          <w:sz w:val="28"/>
          <w:szCs w:val="28"/>
          <w:lang w:val="ru-RU" w:eastAsia="ru-RU"/>
        </w:rPr>
        <w:t>Информатизация в школе //Научная электронная библиотека «КиберЛенинка». Режим доступа: https://itschool.pw/formirovanie-cifrovoj-sredy-fgos/. (дата обращения: 18.02.2022).</w:t>
      </w:r>
    </w:p>
    <w:p>
      <w:pPr>
        <w:widowControl w:val="off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cs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cs="Times New Roman" w:eastAsia="Calibri" w:hAnsi="Times New Roman"/>
          <w:sz w:val="28"/>
          <w:szCs w:val="28"/>
          <w:lang w:val="ru-RU" w:eastAsia="ru-RU"/>
        </w:rPr>
        <w:t>Плюсы и минусы образовательной модели перевернутый класс //Научная электронная библиотека «КиберЛенинка». Режим доступа: https://narobraz.ru/tovary-i-uslugi/plyusy-i-minusy-obrazovatelnoйфj-modeli-perevernutyj-klass.html. (дата обращения: 18.02.2022).</w:t>
      </w:r>
    </w:p>
    <w:p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  <w:t>Босова, Л. Л. Рабочая тетрадь по информатике для 10 класса / Л. Л. Босова. — Текст : электронный // ИНФОУРОК : [сайт]. — URL: https://infourok.ru/rabochaya-tetrad-po-informatike-dlya-klassa-710216.html (дата обращения: 01.03.2023).</w:t>
      </w:r>
    </w:p>
    <w:p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 w:eastAsia="ru-RU"/>
        </w:rPr>
        <w:t>Анатольев, А. В.  Рабочая тетрадь по информатике для 10-го класса / А. В. Анатольев. — Текст : электронный // Анатольев.рф : [сайт]. — URL: http://kosmonavtom.rusedu.net/gallery/143/2011-12_RT_(informatika)_10_klass_(2_chasa).pdf (дата обращения: 01.03.2023).</w:t>
      </w:r>
    </w:p>
    <w:p>
      <w:pPr>
        <w:framePr w:w="0" w:h="0" w:vAnchor="margin" w:hAnchor="text" w:x="0" w:y="0"/>
        <w:numPr>
          <w:ilvl w:val="0"/>
          <w:numId w:val="10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Босова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Л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Л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Информатика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»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10-11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классы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Базовый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уровень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Авторы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Босова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Л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Л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Босова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Ю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/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Л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Л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Босова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—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Текст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: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электронный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//  : [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сайт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].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—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URL: https://school24.yaguo.ru/newsite/wp-content/uploads/2019/10/informatika_10kl_bu_bosovall.pdf 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дата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обращения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: 04.03.2023).</w:t>
      </w:r>
    </w:p>
    <w:p>
      <w:pPr>
        <w:framePr w:w="0" w:h="0" w:vAnchor="margin" w:hAnchor="text" w:x="0" w:y="0"/>
        <w:numPr>
          <w:ilvl w:val="0"/>
          <w:numId w:val="10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Понятие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информации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|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Информатика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10-11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класс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#1 |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Инфоурок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—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Текст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: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электронный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// YouTube : [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сайт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].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—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URL: https://yandex.ru/video/preview/4724461479070719886 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дата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обращения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: 04.03.2023).</w:t>
      </w:r>
    </w:p>
    <w:p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Информационные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процессы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в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естеств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х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искусств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х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системах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|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Информатика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10-11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класс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—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Текст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: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электронный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// YouTube : [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сайт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].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—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URL: https://yandex.ru/video/preview/3706842717466436828 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дата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обращения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: 04.03.2023).</w:t>
      </w:r>
    </w:p>
    <w:p>
      <w:pPr>
        <w:spacing w:after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</w:pPr>
    </w:p>
    <w:p/>
    <w:sectPr>
      <w:pgSz w:w="11906" w:h="16838" w:orient="portrai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times new roman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 w:tentative="0">
      <w:start w:val="1"/>
      <w:numFmt w:val="decimal"/>
      <w:isLgl w:val="off"/>
      <w:suff w:val="tab"/>
      <w:lvlText w:val="%1)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 w:tentative="0">
      <w:start w:val="1"/>
      <w:numFmt w:val="decimal"/>
      <w:isLgl w:val="off"/>
      <w:suff w:val="tab"/>
      <w:lvlText w:val="%1)"/>
      <w:lvlJc w:val="left"/>
      <w:pPr>
        <w:ind w:left="720" w:hanging="360"/>
      </w:pPr>
      <w:rPr/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  <w:rPr/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  <w:rPr/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  <w:rPr/>
    </w:lvl>
  </w:abstractNum>
  <w:abstractNum w:abstractNumId="7">
    <w:multiLevelType w:val="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  <w:rPr/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  <w:rPr/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  <w:rPr/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  <w:rPr/>
    </w:lvl>
  </w:abstractNum>
  <w:abstractNum w:abstractNumId="8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9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  <w:rPr/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  <w:rPr/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  <w:rPr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1">
    <w:name w:val="Table Grid1"/>
    <w:basedOn w:val="NormalTable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Илхама</dc:creator>
  <cp:lastModifiedBy>Илхама</cp:lastModifiedBy>
</cp:coreProperties>
</file>